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F394C" w14:textId="77777777" w:rsidR="00CC5761" w:rsidRDefault="00CC5761" w:rsidP="00CC5761">
      <w:pPr>
        <w:spacing w:after="0" w:line="240" w:lineRule="auto"/>
        <w:jc w:val="center"/>
        <w:rPr>
          <w:rFonts w:eastAsia="Times New Roman" w:cs="Times New Roman"/>
          <w:b/>
          <w:bCs/>
          <w:color w:val="212529"/>
          <w:sz w:val="28"/>
          <w:szCs w:val="28"/>
        </w:rPr>
      </w:pPr>
      <w:r w:rsidRPr="00CC5761">
        <w:rPr>
          <w:rFonts w:eastAsia="Times New Roman" w:cs="Times New Roman"/>
          <w:b/>
          <w:bCs/>
          <w:color w:val="212529"/>
          <w:sz w:val="28"/>
          <w:szCs w:val="28"/>
        </w:rPr>
        <w:t>Điểm mới về đánh giá, xếp loại Đảng viên theo Quy định 124-QĐ/TW</w:t>
      </w:r>
    </w:p>
    <w:p w14:paraId="465A4099" w14:textId="177B49E9" w:rsidR="00CC5761" w:rsidRPr="00CC5761" w:rsidRDefault="00CC5761" w:rsidP="00CC5761">
      <w:pPr>
        <w:spacing w:after="0" w:line="240" w:lineRule="auto"/>
        <w:jc w:val="center"/>
        <w:rPr>
          <w:rFonts w:eastAsia="Times New Roman" w:cs="Times New Roman"/>
          <w:b/>
          <w:bCs/>
          <w:color w:val="212529"/>
          <w:sz w:val="28"/>
          <w:szCs w:val="28"/>
        </w:rPr>
      </w:pPr>
      <w:r w:rsidRPr="00CC5761">
        <w:rPr>
          <w:rFonts w:eastAsia="Times New Roman" w:cs="Times New Roman"/>
          <w:b/>
          <w:bCs/>
          <w:color w:val="2E2E2E"/>
          <w:sz w:val="28"/>
          <w:szCs w:val="28"/>
        </w:rPr>
        <w:t> </w:t>
      </w:r>
    </w:p>
    <w:p w14:paraId="0F6D13B6" w14:textId="77777777" w:rsidR="00CC5761" w:rsidRPr="00CC5761" w:rsidRDefault="00CC5761" w:rsidP="00CC5761">
      <w:pPr>
        <w:spacing w:after="0" w:line="240" w:lineRule="auto"/>
        <w:ind w:firstLine="567"/>
        <w:jc w:val="both"/>
        <w:rPr>
          <w:rFonts w:eastAsia="Times New Roman" w:cs="Times New Roman"/>
          <w:i/>
          <w:iCs/>
          <w:color w:val="212529"/>
          <w:sz w:val="28"/>
          <w:szCs w:val="28"/>
        </w:rPr>
      </w:pPr>
      <w:r w:rsidRPr="00CC5761">
        <w:rPr>
          <w:rFonts w:eastAsia="Times New Roman" w:cs="Times New Roman"/>
          <w:i/>
          <w:iCs/>
          <w:color w:val="2E2E2E"/>
          <w:sz w:val="28"/>
          <w:szCs w:val="28"/>
        </w:rPr>
        <w:t>Ngày 4/10/2023, Bộ Chính trị ban hành Quy định 124-QĐ/TW về việc kiểm điểm và đánh giá, xếp loại chất lượng hằng năm đối với tập thể, cá nhân trong hệ thống chính trị.</w:t>
      </w:r>
      <w:r w:rsidRPr="00CC5761">
        <w:rPr>
          <w:rFonts w:eastAsia="Times New Roman" w:cs="Times New Roman"/>
          <w:i/>
          <w:iCs/>
          <w:color w:val="222222"/>
          <w:sz w:val="28"/>
          <w:szCs w:val="28"/>
        </w:rPr>
        <w:t> Quy định</w:t>
      </w:r>
      <w:r w:rsidRPr="00CC5761">
        <w:rPr>
          <w:rFonts w:eastAsia="Times New Roman" w:cs="Times New Roman"/>
          <w:i/>
          <w:iCs/>
          <w:sz w:val="28"/>
          <w:szCs w:val="28"/>
        </w:rPr>
        <w:t> </w:t>
      </w:r>
      <w:hyperlink r:id="rId4" w:history="1">
        <w:r w:rsidRPr="00CC5761">
          <w:rPr>
            <w:rFonts w:eastAsia="Times New Roman" w:cs="Times New Roman"/>
            <w:i/>
            <w:iCs/>
            <w:sz w:val="28"/>
            <w:szCs w:val="28"/>
          </w:rPr>
          <w:t>124-QĐ/TW</w:t>
        </w:r>
      </w:hyperlink>
      <w:r w:rsidRPr="00CC5761">
        <w:rPr>
          <w:rFonts w:eastAsia="Times New Roman" w:cs="Times New Roman"/>
          <w:i/>
          <w:iCs/>
          <w:color w:val="222222"/>
          <w:sz w:val="28"/>
          <w:szCs w:val="28"/>
        </w:rPr>
        <w:t> có hiệu lực từ ngày 04/10/2023</w:t>
      </w:r>
      <w:r w:rsidRPr="00CC5761">
        <w:rPr>
          <w:rFonts w:eastAsia="Times New Roman" w:cs="Times New Roman"/>
          <w:i/>
          <w:iCs/>
          <w:color w:val="2E2E2E"/>
          <w:sz w:val="28"/>
          <w:szCs w:val="28"/>
        </w:rPr>
        <w:t>. </w:t>
      </w:r>
      <w:r w:rsidRPr="00CC5761">
        <w:rPr>
          <w:rFonts w:eastAsia="Times New Roman" w:cs="Times New Roman"/>
          <w:i/>
          <w:iCs/>
          <w:color w:val="212529"/>
          <w:sz w:val="28"/>
          <w:szCs w:val="28"/>
        </w:rPr>
        <w:t>Theo đó, Quy định 124-QĐ/TW có một số điểm mới so với Quy định số 132-QĐ/TW ngày 8/3/2018 của Bộ Chính trị về việc kiểm điểm và đánh giá, xếp loại chất lượng hằng năm đối với tập thể, cá nhân trong hệ thống chính trị như sau:</w:t>
      </w:r>
    </w:p>
    <w:p w14:paraId="6699F6B2"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b/>
          <w:bCs/>
          <w:color w:val="212529"/>
          <w:sz w:val="28"/>
          <w:szCs w:val="28"/>
        </w:rPr>
        <w:t>1. Điểm mới về nơi kiểm điểm đảng viên</w:t>
      </w:r>
      <w:r w:rsidRPr="00CC5761">
        <w:rPr>
          <w:rFonts w:eastAsia="Times New Roman" w:cs="Times New Roman"/>
          <w:color w:val="212529"/>
          <w:sz w:val="28"/>
          <w:szCs w:val="28"/>
        </w:rPr>
        <w:t>: Theo đó, Quy định 124-QĐ/TW bổ sung nơi kiểm điểm mới cán bộ lãnh đạo, quản lý.</w:t>
      </w:r>
    </w:p>
    <w:p w14:paraId="3B99F2BD"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Về cơ bản, cán bộ lãnh đạo, quản lý sẽ thực hiện kiểm điểm ở 02 nơi là chi bộ nơi sinh hoạt và tập thể lãnh đạo, quản lý nơi làm việc. Tuy nhiên, quy định mới còn bổ sung đánh giá, xếp loại chất lượng đảng viên tại chi bộ, đánh giá, xếp loại chất lượng cán bộ, công chức, viên chức ở nơi giữ chức vụ cao nhất.</w:t>
      </w:r>
    </w:p>
    <w:p w14:paraId="1C0221F7"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 Bổ sung nơi kiểm điểm của cấp ủy là cấp ủy ở cấp nào thì thực hiện kiểm điểm tự phê bình và phê bình ở cấp đó.</w:t>
      </w:r>
    </w:p>
    <w:p w14:paraId="18DDCA63"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b/>
          <w:bCs/>
          <w:color w:val="212529"/>
          <w:sz w:val="28"/>
          <w:szCs w:val="28"/>
        </w:rPr>
        <w:t>2. Điều chỉnh, bổ sung đối tượng kiểm điểm</w:t>
      </w:r>
    </w:p>
    <w:p w14:paraId="0FAA00A6"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Về đối tượng kiểm điểm, điều chỉnh, bổ sung đối tượng là “tập thể lãnh đạo các cơ quan tham mưu giúp việc của Đảng, đơn vị sự nghiệp ở Trung ương và địa phương; ban thường vụ cấp ủy cấp tỉnh, cấp huyện và tương đương (bao gồm cả ban thường vụ cấp ủy cơ sở được giao quyền cấp trên cơ sở) và cấp ủy cơ sở”. Đảng viên bị đình chỉ sinh hoạt đảng, đảng viên mới kết nạp chưa đủ 6 tháng thì không thuộc đối tượng kiểm điểm theo quy định.</w:t>
      </w:r>
    </w:p>
    <w:p w14:paraId="07E79B21"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b/>
          <w:bCs/>
          <w:color w:val="212529"/>
          <w:sz w:val="28"/>
          <w:szCs w:val="28"/>
        </w:rPr>
        <w:t>3. Bổ sung quan điểm, nguyên tắc trong đánh giá, xếp loại chất lượng đảng viên</w:t>
      </w:r>
    </w:p>
    <w:p w14:paraId="5B36E4A7"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Bên cạnh việc giữ nguyên quan điểm chú trọng phẩm chất chính trị, đạo đức, lối sống, trách nhiệm, phương pháp trong thực hiện nhiệm vụ, nhất là hiệu quả công việc của đảng viên. Quy định 124-QĐ/TW đã bổ sung thêm nội dung “</w:t>
      </w:r>
      <w:r w:rsidRPr="00CC5761">
        <w:rPr>
          <w:rFonts w:eastAsia="Times New Roman" w:cs="Times New Roman"/>
          <w:i/>
          <w:iCs/>
          <w:color w:val="212529"/>
          <w:sz w:val="28"/>
          <w:szCs w:val="28"/>
        </w:rPr>
        <w:t>Gắn trách nhiệm cá nhân với tập thể; gắn kết quả của người đứng đầu, cán bộ lãnh đạo, quản lý với kết quả của địa phương, tổ chức, cơ quan, đơn vị. Tăng cường kiểm tra, giám sát, bảo đảm thực hiện thống nhất, đồng bộ trong hệ thống chính trị từ Trung ương đến cơ sở</w:t>
      </w:r>
      <w:r w:rsidRPr="00CC5761">
        <w:rPr>
          <w:rFonts w:eastAsia="Times New Roman" w:cs="Times New Roman"/>
          <w:color w:val="212529"/>
          <w:sz w:val="28"/>
          <w:szCs w:val="28"/>
        </w:rPr>
        <w:t>”. Đồng thời thêm nguyên tắc: “</w:t>
      </w:r>
      <w:r w:rsidRPr="00CC5761">
        <w:rPr>
          <w:rFonts w:eastAsia="Times New Roman" w:cs="Times New Roman"/>
          <w:i/>
          <w:iCs/>
          <w:color w:val="212529"/>
          <w:sz w:val="28"/>
          <w:szCs w:val="28"/>
        </w:rPr>
        <w:t>Kết hợp chặt chẽ kết quả đánh giá, xếp loại cán bộ, công chức, viên chức, người lao động với đánh giá, xếp loại chất lượng đảng viên</w:t>
      </w:r>
      <w:r w:rsidRPr="00CC5761">
        <w:rPr>
          <w:rFonts w:eastAsia="Times New Roman" w:cs="Times New Roman"/>
          <w:color w:val="212529"/>
          <w:sz w:val="28"/>
          <w:szCs w:val="28"/>
        </w:rPr>
        <w:t>”.</w:t>
      </w:r>
    </w:p>
    <w:p w14:paraId="63EEC630"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b/>
          <w:bCs/>
          <w:color w:val="212529"/>
          <w:sz w:val="28"/>
          <w:szCs w:val="28"/>
        </w:rPr>
        <w:t>4. Bổ sung căn cứ kiểm điểm, đánh giá, xếp loại</w:t>
      </w:r>
    </w:p>
    <w:p w14:paraId="5A361260"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Bổ sung căn cứ kiểm điểm, đánh giá, xếp loại nội dung về: tính gương mẫu, ý thức tổ chức kỷ luật, văn hóa giao tiếp, tác phong, lề lối làm việc của cá nhân; tinh thần đổi mới, năng động, sáng tạo vì lợi ích chung để đồng bộ với các quy định của Bộ Chính trị.</w:t>
      </w:r>
    </w:p>
    <w:p w14:paraId="676BDF23"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b/>
          <w:bCs/>
          <w:color w:val="212529"/>
          <w:sz w:val="28"/>
          <w:szCs w:val="28"/>
        </w:rPr>
        <w:t>5. Nội dung kiểm điểm</w:t>
      </w:r>
    </w:p>
    <w:p w14:paraId="305C41FE"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 xml:space="preserve">Quy định 124-QĐ/TW quy định: Nội dung kiểm điểm tập trung làm rõ những kết quả đạt được, khuyết điểm, hạn chế, yếu kém và nguyên nhân, giải pháp và thời gian khắc phục. Còn tại Quy định 132-QĐ/TW năm 2018: Nội dung kiểm điểm tập trung làm rõ những thành tích nổi bật để phát huy, chỉ rõ những khuyết điểm, hạn </w:t>
      </w:r>
      <w:r w:rsidRPr="00CC5761">
        <w:rPr>
          <w:rFonts w:eastAsia="Times New Roman" w:cs="Times New Roman"/>
          <w:color w:val="212529"/>
          <w:sz w:val="28"/>
          <w:szCs w:val="28"/>
        </w:rPr>
        <w:lastRenderedPageBreak/>
        <w:t>chế, yếu kém; liên hệ với những biểu hiện suy thoái tư tưởng chính trị, đạo đức, lối sống, “tự diễn biến”, “tự chuyển hóa”; chỉ rõ nguyên nhân khuyết điểm, hạn chế, yếu kém, đề ra giải pháp và thời gian khắc phục.</w:t>
      </w:r>
    </w:p>
    <w:p w14:paraId="5E5C85E9" w14:textId="77777777" w:rsidR="00CC5761" w:rsidRPr="00CC5761" w:rsidRDefault="00CC5761" w:rsidP="00CC5761">
      <w:pPr>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Quy định 124-QĐ/TW cũng chia nội dung kiểm điểm với 2 đối tượng sau đây (thay vì quy định chung như Quy định 132-QĐ/TW)</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9"/>
        <w:gridCol w:w="4536"/>
      </w:tblGrid>
      <w:tr w:rsidR="00CC5761" w:rsidRPr="00CC5761" w14:paraId="1247379B" w14:textId="77777777" w:rsidTr="00CC5761">
        <w:tc>
          <w:tcPr>
            <w:tcW w:w="53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ECF0D30" w14:textId="77777777" w:rsidR="00CC5761" w:rsidRPr="00CC5761" w:rsidRDefault="00CC5761" w:rsidP="00CC5761">
            <w:pPr>
              <w:spacing w:after="0" w:line="240" w:lineRule="auto"/>
              <w:jc w:val="both"/>
              <w:rPr>
                <w:rFonts w:eastAsia="Times New Roman" w:cs="Times New Roman"/>
                <w:color w:val="212529"/>
                <w:sz w:val="28"/>
                <w:szCs w:val="28"/>
              </w:rPr>
            </w:pPr>
            <w:r w:rsidRPr="00CC5761">
              <w:rPr>
                <w:rFonts w:eastAsia="Times New Roman" w:cs="Times New Roman"/>
                <w:b/>
                <w:bCs/>
                <w:color w:val="212529"/>
                <w:sz w:val="28"/>
                <w:szCs w:val="28"/>
              </w:rPr>
              <w:t>Cá nhân không giữ chức vụ lãnh đạo, quản lý</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839F3B4" w14:textId="77777777" w:rsidR="00CC5761" w:rsidRPr="00CC5761" w:rsidRDefault="00CC5761" w:rsidP="00CC5761">
            <w:pPr>
              <w:spacing w:after="0" w:line="240" w:lineRule="auto"/>
              <w:jc w:val="both"/>
              <w:rPr>
                <w:rFonts w:eastAsia="Times New Roman" w:cs="Times New Roman"/>
                <w:color w:val="212529"/>
                <w:sz w:val="28"/>
                <w:szCs w:val="28"/>
              </w:rPr>
            </w:pPr>
            <w:r w:rsidRPr="00CC5761">
              <w:rPr>
                <w:rFonts w:eastAsia="Times New Roman" w:cs="Times New Roman"/>
                <w:b/>
                <w:bCs/>
                <w:color w:val="212529"/>
                <w:sz w:val="28"/>
                <w:szCs w:val="28"/>
              </w:rPr>
              <w:t>Cá nhân giữ chức vụ lãnh đạo, quản lý</w:t>
            </w:r>
          </w:p>
        </w:tc>
      </w:tr>
      <w:tr w:rsidR="00CC5761" w:rsidRPr="00CC5761" w14:paraId="2AC345D9" w14:textId="77777777" w:rsidTr="00CC5761">
        <w:tc>
          <w:tcPr>
            <w:tcW w:w="53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12CE869" w14:textId="77777777" w:rsidR="00CC5761" w:rsidRPr="00CC5761" w:rsidRDefault="00CC5761" w:rsidP="00CC5761">
            <w:pPr>
              <w:spacing w:after="0" w:line="240" w:lineRule="auto"/>
              <w:ind w:left="133" w:right="134" w:firstLine="558"/>
              <w:jc w:val="both"/>
              <w:rPr>
                <w:rFonts w:eastAsia="Times New Roman" w:cs="Times New Roman"/>
                <w:color w:val="212529"/>
                <w:sz w:val="28"/>
                <w:szCs w:val="28"/>
              </w:rPr>
            </w:pPr>
            <w:r w:rsidRPr="00CC5761">
              <w:rPr>
                <w:rFonts w:eastAsia="Times New Roman" w:cs="Times New Roman"/>
                <w:color w:val="212529"/>
                <w:sz w:val="28"/>
                <w:szCs w:val="28"/>
              </w:rPr>
              <w:t>-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14:paraId="42DCD957" w14:textId="77777777" w:rsidR="00CC5761" w:rsidRPr="00CC5761" w:rsidRDefault="00CC5761" w:rsidP="00CC5761">
            <w:pPr>
              <w:spacing w:after="0" w:line="240" w:lineRule="auto"/>
              <w:ind w:left="133" w:right="134" w:firstLine="558"/>
              <w:jc w:val="both"/>
              <w:rPr>
                <w:rFonts w:eastAsia="Times New Roman" w:cs="Times New Roman"/>
                <w:color w:val="212529"/>
                <w:sz w:val="28"/>
                <w:szCs w:val="28"/>
              </w:rPr>
            </w:pPr>
            <w:r w:rsidRPr="00CC5761">
              <w:rPr>
                <w:rFonts w:eastAsia="Times New Roman" w:cs="Times New Roman"/>
                <w:color w:val="212529"/>
                <w:sz w:val="28"/>
                <w:szCs w:val="28"/>
              </w:rPr>
              <w:t>- Việc thực hiện nhiệm vụ, quyền hạn và kết quả thực hiện các chỉ tiêu, nhiệm vụ được giao trong năm.</w:t>
            </w:r>
          </w:p>
          <w:p w14:paraId="2D8AA63D" w14:textId="77777777" w:rsidR="00CC5761" w:rsidRPr="00CC5761" w:rsidRDefault="00CC5761" w:rsidP="00CC5761">
            <w:pPr>
              <w:spacing w:after="0" w:line="240" w:lineRule="auto"/>
              <w:ind w:left="133" w:right="134" w:firstLine="558"/>
              <w:jc w:val="both"/>
              <w:rPr>
                <w:rFonts w:eastAsia="Times New Roman" w:cs="Times New Roman"/>
                <w:color w:val="212529"/>
                <w:sz w:val="28"/>
                <w:szCs w:val="28"/>
              </w:rPr>
            </w:pPr>
            <w:r w:rsidRPr="00CC5761">
              <w:rPr>
                <w:rFonts w:eastAsia="Times New Roman" w:cs="Times New Roman"/>
                <w:color w:val="212529"/>
                <w:sz w:val="28"/>
                <w:szCs w:val="28"/>
              </w:rPr>
              <w:t>- Việc thực hiện cam kết tu dưỡng, rèn luyện, phấn đấu hằng năm.</w:t>
            </w:r>
          </w:p>
          <w:p w14:paraId="3B183E83" w14:textId="77777777" w:rsidR="00CC5761" w:rsidRPr="00CC5761" w:rsidRDefault="00CC5761" w:rsidP="00CC5761">
            <w:pPr>
              <w:spacing w:after="0" w:line="240" w:lineRule="auto"/>
              <w:ind w:left="133" w:right="134" w:firstLine="558"/>
              <w:jc w:val="both"/>
              <w:rPr>
                <w:rFonts w:eastAsia="Times New Roman" w:cs="Times New Roman"/>
                <w:color w:val="212529"/>
                <w:sz w:val="28"/>
                <w:szCs w:val="28"/>
              </w:rPr>
            </w:pPr>
            <w:r w:rsidRPr="00CC5761">
              <w:rPr>
                <w:rFonts w:eastAsia="Times New Roman" w:cs="Times New Roman"/>
                <w:color w:val="212529"/>
                <w:sz w:val="28"/>
                <w:szCs w:val="28"/>
              </w:rPr>
              <w:t>- Những vấn đề được gợi ý kiểm điểm; việc khắc phục những hạn chế, khuyết điểm được cấp có thẩm quyền kết luận và được chỉ ra ở kỳ kiểm điểm trước (nếu có).</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C2304F4" w14:textId="77777777" w:rsidR="00CC5761" w:rsidRPr="00CC5761" w:rsidRDefault="00CC5761" w:rsidP="00CC5761">
            <w:pPr>
              <w:spacing w:after="0" w:line="240" w:lineRule="auto"/>
              <w:ind w:left="140" w:right="141" w:firstLine="416"/>
              <w:jc w:val="both"/>
              <w:rPr>
                <w:rFonts w:eastAsia="Times New Roman" w:cs="Times New Roman"/>
                <w:color w:val="212529"/>
                <w:sz w:val="28"/>
                <w:szCs w:val="28"/>
              </w:rPr>
            </w:pPr>
            <w:r w:rsidRPr="00CC5761">
              <w:rPr>
                <w:rFonts w:eastAsia="Times New Roman" w:cs="Times New Roman"/>
                <w:color w:val="212529"/>
                <w:sz w:val="28"/>
                <w:szCs w:val="28"/>
              </w:rPr>
              <w:t>- Các nội dung áp dụng với cá nhân không giữ chức vụ lãnh đạo, quản lý.</w:t>
            </w:r>
          </w:p>
          <w:p w14:paraId="5681C48E" w14:textId="77777777" w:rsidR="00CC5761" w:rsidRPr="00CC5761" w:rsidRDefault="00CC5761" w:rsidP="00CC5761">
            <w:pPr>
              <w:spacing w:after="0" w:line="240" w:lineRule="auto"/>
              <w:ind w:left="140" w:right="141" w:firstLine="416"/>
              <w:jc w:val="both"/>
              <w:rPr>
                <w:rFonts w:eastAsia="Times New Roman" w:cs="Times New Roman"/>
                <w:color w:val="212529"/>
                <w:sz w:val="28"/>
                <w:szCs w:val="28"/>
              </w:rPr>
            </w:pPr>
            <w:r w:rsidRPr="00CC5761">
              <w:rPr>
                <w:rFonts w:eastAsia="Times New Roman" w:cs="Times New Roman"/>
                <w:color w:val="212529"/>
                <w:sz w:val="28"/>
                <w:szCs w:val="28"/>
              </w:rPr>
              <w:t>- Kết quả công tác lãnh đạo, quản lý, chỉ đạo điều hành; thực hiện chức trách, nhiệm vụ; khả năng quy tụ, xây dựng đoàn kết nội bộ; mức độ hoàn thành nhiệm vụ dưới quyền quản lý.</w:t>
            </w:r>
          </w:p>
          <w:p w14:paraId="4B5E531A" w14:textId="77777777" w:rsidR="00CC5761" w:rsidRPr="00CC5761" w:rsidRDefault="00CC5761" w:rsidP="00CC5761">
            <w:pPr>
              <w:spacing w:after="0" w:line="240" w:lineRule="auto"/>
              <w:ind w:left="140" w:right="141" w:firstLine="416"/>
              <w:jc w:val="both"/>
              <w:rPr>
                <w:rFonts w:eastAsia="Times New Roman" w:cs="Times New Roman"/>
                <w:color w:val="212529"/>
                <w:sz w:val="28"/>
                <w:szCs w:val="28"/>
              </w:rPr>
            </w:pPr>
            <w:r w:rsidRPr="00CC5761">
              <w:rPr>
                <w:rFonts w:eastAsia="Times New Roman" w:cs="Times New Roman"/>
                <w:color w:val="212529"/>
                <w:sz w:val="28"/>
                <w:szCs w:val="28"/>
              </w:rPr>
              <w:t>- Tinh thần năng động, đổi mới, sáng tạo, dám nghĩ, dám làm, dám chịu trách nhiệm, xử lý những vấn đề khó khăn, phức tạp, nhạy cảm; trách nhiệm trong công việc;</w:t>
            </w:r>
          </w:p>
          <w:p w14:paraId="7CA6EC46" w14:textId="77777777" w:rsidR="00CC5761" w:rsidRPr="00CC5761" w:rsidRDefault="00CC5761" w:rsidP="00CC5761">
            <w:pPr>
              <w:spacing w:after="0" w:line="240" w:lineRule="auto"/>
              <w:ind w:left="140" w:right="141" w:firstLine="416"/>
              <w:jc w:val="both"/>
              <w:rPr>
                <w:rFonts w:eastAsia="Times New Roman" w:cs="Times New Roman"/>
                <w:color w:val="212529"/>
                <w:sz w:val="28"/>
                <w:szCs w:val="28"/>
              </w:rPr>
            </w:pPr>
            <w:r w:rsidRPr="00CC5761">
              <w:rPr>
                <w:rFonts w:eastAsia="Times New Roman" w:cs="Times New Roman"/>
                <w:color w:val="212529"/>
                <w:sz w:val="28"/>
                <w:szCs w:val="28"/>
              </w:rPr>
              <w:t>- Trách nhiệm nêu gương của bản thân, gia đình; đấu tranh phòng, chống tham nhũng, lãng phí, tiêu cực, sự tín nhiệm của Đảng viên, cán bộ.</w:t>
            </w:r>
          </w:p>
        </w:tc>
      </w:tr>
    </w:tbl>
    <w:p w14:paraId="205B5898"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br/>
        <w:t>          </w:t>
      </w:r>
      <w:r w:rsidRPr="00CC5761">
        <w:rPr>
          <w:rFonts w:eastAsia="Times New Roman" w:cs="Times New Roman"/>
          <w:b/>
          <w:bCs/>
          <w:color w:val="212529"/>
          <w:sz w:val="28"/>
          <w:szCs w:val="28"/>
        </w:rPr>
        <w:t>6. Kiểm điểm rõ nhiều nội dung với người đứng đầu</w:t>
      </w:r>
    </w:p>
    <w:p w14:paraId="6B6292FC"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Đối với cá nhân là người đứng đầu, ngoài những nội dung kiểm điểm cá nhân để xác định trách nhiệm, thẩm quyền của người đứng đầu trong việc thực hiện nhiệm vụ, còn phải kiểm điểm rõ nhiều nội dung, như:</w:t>
      </w:r>
    </w:p>
    <w:p w14:paraId="3FADD099"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 Khả năng quy tụ, đoàn kết nội bộ và xử lý những vấn đề khó, phức tạp, nhạy cảm; kết quả lãnh đạo, chỉ đạo thực hiện chủ trương của Đảng về đấu tranh phòng, chống tham nhũng, tiêu cực, những điều đảng viên không được làm và trách nhiệm nêu gương.</w:t>
      </w:r>
    </w:p>
    <w:p w14:paraId="0A284B96"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 Sự gương mẫu của vợ, chồng, con trong chấp hành chính sách, pháp luật của Nhà nước; thường xuyên giữ mối liên hệ với cấp ủy nơi cư trú.</w:t>
      </w:r>
    </w:p>
    <w:p w14:paraId="46E87057"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 Kết quả lãnh đạo, tham mưu, tổ chức thực hiện chủ trương, đường lối của Đảng, chính sách, pháp luật của Nhà nước trong lĩnh vực, phạm vi phụ trách.</w:t>
      </w:r>
    </w:p>
    <w:p w14:paraId="5E2A91F2"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 Tính năng động, đổi mới, sáng tạo, dám nghĩ, dám làm, dám chịu trách nhiệm trong thực hiện nhiệm vụ được giao; kết quả thực hiện công tác kiểm tra, giám sát, giải quyết đơn, thư khiếu nại, tố cáo trong lĩnh vực, phạm vi phụ trách...</w:t>
      </w:r>
    </w:p>
    <w:p w14:paraId="222DD0AD"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b/>
          <w:bCs/>
          <w:color w:val="212529"/>
          <w:sz w:val="28"/>
          <w:szCs w:val="28"/>
        </w:rPr>
        <w:t>7. Thêm trách nhiệm trong kiểm điểm của đảng viên</w:t>
      </w:r>
    </w:p>
    <w:p w14:paraId="52AB3591"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Quy định 124-QĐ/TW bổ sung thêm trách nhiệm của đảng viên như sau:</w:t>
      </w:r>
    </w:p>
    <w:p w14:paraId="0D32E8C6"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t>- Nêu cao trách nhiệm, sự gương mẫu trong kiểm điểm, phát huy tinh thần tự phê bình và phê bình.</w:t>
      </w:r>
    </w:p>
    <w:p w14:paraId="7518B963" w14:textId="77777777" w:rsidR="00CC5761" w:rsidRPr="00CC5761" w:rsidRDefault="00CC5761" w:rsidP="00CC5761">
      <w:pPr>
        <w:shd w:val="clear" w:color="auto" w:fill="FFFFFF"/>
        <w:spacing w:after="0" w:line="240" w:lineRule="auto"/>
        <w:ind w:firstLine="709"/>
        <w:jc w:val="both"/>
        <w:rPr>
          <w:rFonts w:eastAsia="Times New Roman" w:cs="Times New Roman"/>
          <w:color w:val="212529"/>
          <w:sz w:val="28"/>
          <w:szCs w:val="28"/>
        </w:rPr>
      </w:pPr>
      <w:r w:rsidRPr="00CC5761">
        <w:rPr>
          <w:rFonts w:eastAsia="Times New Roman" w:cs="Times New Roman"/>
          <w:color w:val="212529"/>
          <w:sz w:val="28"/>
          <w:szCs w:val="28"/>
        </w:rPr>
        <w:lastRenderedPageBreak/>
        <w:t>- Đảng viên phải kiểm điểm một cách khách quan, thẳng thắn, trung thực, thực chất./.</w:t>
      </w:r>
    </w:p>
    <w:p w14:paraId="714D10F0" w14:textId="77777777" w:rsidR="00475B86" w:rsidRPr="00CC5761" w:rsidRDefault="00475B86" w:rsidP="00CC5761">
      <w:pPr>
        <w:spacing w:line="240" w:lineRule="auto"/>
        <w:rPr>
          <w:rFonts w:cs="Times New Roman"/>
          <w:sz w:val="28"/>
          <w:szCs w:val="28"/>
        </w:rPr>
      </w:pPr>
    </w:p>
    <w:sectPr w:rsidR="00475B86" w:rsidRPr="00CC5761" w:rsidSect="00CC5761">
      <w:pgSz w:w="11909" w:h="16834" w:code="9"/>
      <w:pgMar w:top="1440" w:right="1136"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61"/>
    <w:rsid w:val="00475B86"/>
    <w:rsid w:val="00CC576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D6C5"/>
  <w15:chartTrackingRefBased/>
  <w15:docId w15:val="{E40240F1-F46A-48D7-80CF-D2173D40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61"/>
    <w:rPr>
      <w:color w:val="0000FF"/>
      <w:u w:val="single"/>
    </w:rPr>
  </w:style>
  <w:style w:type="character" w:styleId="Strong">
    <w:name w:val="Strong"/>
    <w:basedOn w:val="DefaultParagraphFont"/>
    <w:uiPriority w:val="22"/>
    <w:qFormat/>
    <w:rsid w:val="00CC5761"/>
    <w:rPr>
      <w:b/>
      <w:bCs/>
    </w:rPr>
  </w:style>
  <w:style w:type="character" w:styleId="Emphasis">
    <w:name w:val="Emphasis"/>
    <w:basedOn w:val="DefaultParagraphFont"/>
    <w:uiPriority w:val="20"/>
    <w:qFormat/>
    <w:rsid w:val="00CC5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458567">
      <w:bodyDiv w:val="1"/>
      <w:marLeft w:val="0"/>
      <w:marRight w:val="0"/>
      <w:marTop w:val="0"/>
      <w:marBottom w:val="0"/>
      <w:divBdr>
        <w:top w:val="none" w:sz="0" w:space="0" w:color="auto"/>
        <w:left w:val="none" w:sz="0" w:space="0" w:color="auto"/>
        <w:bottom w:val="none" w:sz="0" w:space="0" w:color="auto"/>
        <w:right w:val="none" w:sz="0" w:space="0" w:color="auto"/>
      </w:divBdr>
    </w:div>
    <w:div w:id="1942108010">
      <w:bodyDiv w:val="1"/>
      <w:marLeft w:val="0"/>
      <w:marRight w:val="0"/>
      <w:marTop w:val="0"/>
      <w:marBottom w:val="0"/>
      <w:divBdr>
        <w:top w:val="none" w:sz="0" w:space="0" w:color="auto"/>
        <w:left w:val="none" w:sz="0" w:space="0" w:color="auto"/>
        <w:bottom w:val="none" w:sz="0" w:space="0" w:color="auto"/>
        <w:right w:val="none" w:sz="0" w:space="0" w:color="auto"/>
      </w:divBdr>
      <w:divsChild>
        <w:div w:id="2049331365">
          <w:marLeft w:val="0"/>
          <w:marRight w:val="0"/>
          <w:marTop w:val="0"/>
          <w:marBottom w:val="120"/>
          <w:divBdr>
            <w:top w:val="none" w:sz="0" w:space="0" w:color="auto"/>
            <w:left w:val="none" w:sz="0" w:space="0" w:color="auto"/>
            <w:bottom w:val="none" w:sz="0" w:space="0" w:color="auto"/>
            <w:right w:val="none" w:sz="0" w:space="0" w:color="auto"/>
          </w:divBdr>
        </w:div>
        <w:div w:id="157797975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hanh-chinh/quy-dinh-124-qd-tw-2023-kiem-diem-va-danh-gia-xep-loai-chat-luong-hang-nam-269289-d6.htm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9E0E7-ECE1-4537-81FE-04CF0EC8EEC2}"/>
</file>

<file path=customXml/itemProps2.xml><?xml version="1.0" encoding="utf-8"?>
<ds:datastoreItem xmlns:ds="http://schemas.openxmlformats.org/officeDocument/2006/customXml" ds:itemID="{A7EDF62E-E7BF-4D53-AF3E-5833CAB9D230}"/>
</file>

<file path=customXml/itemProps3.xml><?xml version="1.0" encoding="utf-8"?>
<ds:datastoreItem xmlns:ds="http://schemas.openxmlformats.org/officeDocument/2006/customXml" ds:itemID="{CEA1D590-E6E5-4BC7-ADBD-374C1CE0AE2C}"/>
</file>

<file path=docProps/app.xml><?xml version="1.0" encoding="utf-8"?>
<Properties xmlns="http://schemas.openxmlformats.org/officeDocument/2006/extended-properties" xmlns:vt="http://schemas.openxmlformats.org/officeDocument/2006/docPropsVTypes">
  <Template>Normal</Template>
  <TotalTime>5</TotalTime>
  <Pages>3</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2023-11-13T02:54:00Z</dcterms:created>
  <dcterms:modified xsi:type="dcterms:W3CDTF">2023-11-13T02:59:00Z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